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C1C" w:rsidRDefault="00926C1C" w:rsidP="00CE58F5">
      <w:pPr>
        <w:ind w:right="-705"/>
        <w:rPr>
          <w:b w:val="0"/>
          <w:sz w:val="16"/>
          <w:szCs w:val="16"/>
        </w:rPr>
      </w:pPr>
    </w:p>
    <w:p w:rsidR="00790DC9" w:rsidRPr="005A633F" w:rsidRDefault="00926C1C" w:rsidP="00790DC9">
      <w:pPr>
        <w:tabs>
          <w:tab w:val="right" w:pos="4140"/>
          <w:tab w:val="left" w:pos="5220"/>
        </w:tabs>
        <w:spacing w:before="20" w:after="20"/>
        <w:jc w:val="center"/>
        <w:rPr>
          <w:rFonts w:ascii="Calibri" w:hAnsi="Calibri"/>
          <w:sz w:val="26"/>
        </w:rPr>
      </w:pPr>
      <w:r w:rsidRPr="005A633F">
        <w:rPr>
          <w:rFonts w:ascii="Calibri" w:hAnsi="Calibri"/>
          <w:sz w:val="48"/>
        </w:rPr>
        <w:t xml:space="preserve">WALLINGFORD  </w:t>
      </w:r>
      <w:r w:rsidR="00D911FD" w:rsidRPr="005A633F">
        <w:rPr>
          <w:rFonts w:ascii="Calibri" w:hAnsi="Calibri"/>
          <w:noProof/>
        </w:rPr>
        <w:drawing>
          <wp:inline distT="0" distB="0" distL="0" distR="0">
            <wp:extent cx="523875"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371475"/>
                    </a:xfrm>
                    <a:prstGeom prst="rect">
                      <a:avLst/>
                    </a:prstGeom>
                    <a:noFill/>
                    <a:ln>
                      <a:noFill/>
                    </a:ln>
                  </pic:spPr>
                </pic:pic>
              </a:graphicData>
            </a:graphic>
          </wp:inline>
        </w:drawing>
      </w:r>
      <w:r w:rsidRPr="005A633F">
        <w:rPr>
          <w:rFonts w:ascii="Calibri" w:hAnsi="Calibri"/>
          <w:sz w:val="48"/>
        </w:rPr>
        <w:t xml:space="preserve"> </w:t>
      </w:r>
      <w:r w:rsidR="009C500A">
        <w:rPr>
          <w:rFonts w:ascii="Calibri" w:hAnsi="Calibri"/>
          <w:sz w:val="48"/>
        </w:rPr>
        <w:t xml:space="preserve"> </w:t>
      </w:r>
      <w:r w:rsidRPr="005A633F">
        <w:rPr>
          <w:rFonts w:ascii="Calibri" w:hAnsi="Calibri"/>
          <w:sz w:val="48"/>
        </w:rPr>
        <w:t>SWARTHMORE</w:t>
      </w:r>
    </w:p>
    <w:p w:rsidR="00926C1C" w:rsidRPr="005A633F" w:rsidRDefault="00926C1C" w:rsidP="00926C1C">
      <w:pPr>
        <w:spacing w:before="20" w:after="20"/>
        <w:jc w:val="center"/>
        <w:rPr>
          <w:rFonts w:ascii="Calibri" w:hAnsi="Calibri"/>
          <w:spacing w:val="60"/>
        </w:rPr>
      </w:pPr>
      <w:r w:rsidRPr="005A633F">
        <w:rPr>
          <w:rFonts w:ascii="Calibri" w:hAnsi="Calibri"/>
          <w:spacing w:val="60"/>
        </w:rPr>
        <w:t>SCHOOL DISTRICT</w:t>
      </w:r>
    </w:p>
    <w:p w:rsidR="00926C1C" w:rsidRPr="005A633F" w:rsidRDefault="00926C1C" w:rsidP="00926C1C">
      <w:pPr>
        <w:spacing w:before="20" w:after="20"/>
        <w:jc w:val="center"/>
        <w:rPr>
          <w:rFonts w:ascii="Calibri" w:hAnsi="Calibri"/>
        </w:rPr>
      </w:pPr>
      <w:r w:rsidRPr="005A633F">
        <w:rPr>
          <w:rFonts w:ascii="Calibri" w:hAnsi="Calibri"/>
        </w:rPr>
        <w:t>Human Resources Department</w:t>
      </w:r>
    </w:p>
    <w:p w:rsidR="00926C1C" w:rsidRPr="005A633F" w:rsidRDefault="00CA0962" w:rsidP="00926C1C">
      <w:pPr>
        <w:spacing w:before="20" w:after="20"/>
        <w:jc w:val="center"/>
        <w:rPr>
          <w:rFonts w:ascii="Calibri" w:hAnsi="Calibri"/>
          <w:sz w:val="16"/>
        </w:rPr>
      </w:pPr>
      <w:r w:rsidRPr="005A633F">
        <w:rPr>
          <w:rFonts w:ascii="Calibri" w:hAnsi="Calibri"/>
          <w:sz w:val="16"/>
        </w:rPr>
        <w:t>200 SOUTH PROVIDENCE</w:t>
      </w:r>
      <w:r w:rsidR="00926C1C" w:rsidRPr="005A633F">
        <w:rPr>
          <w:rFonts w:ascii="Calibri" w:hAnsi="Calibri"/>
          <w:sz w:val="16"/>
        </w:rPr>
        <w:t xml:space="preserve"> ROAD, WALLINGFORD, PENNSYLVANIA 19086-6334</w:t>
      </w:r>
    </w:p>
    <w:p w:rsidR="00926C1C" w:rsidRPr="005A633F" w:rsidRDefault="00926C1C" w:rsidP="009C500A">
      <w:pPr>
        <w:jc w:val="center"/>
        <w:rPr>
          <w:rFonts w:ascii="Calibri" w:hAnsi="Calibri"/>
          <w:sz w:val="16"/>
        </w:rPr>
      </w:pPr>
      <w:r w:rsidRPr="005A633F">
        <w:rPr>
          <w:rFonts w:ascii="Calibri" w:hAnsi="Calibri"/>
          <w:sz w:val="16"/>
        </w:rPr>
        <w:t>PHONE (610) 892-3470 EXT. 140</w:t>
      </w:r>
      <w:r w:rsidR="00E8441E">
        <w:rPr>
          <w:rFonts w:ascii="Calibri" w:hAnsi="Calibri"/>
          <w:sz w:val="16"/>
        </w:rPr>
        <w:t>6</w:t>
      </w:r>
      <w:r w:rsidR="00E8441E">
        <w:rPr>
          <w:rFonts w:ascii="Calibri" w:hAnsi="Calibri"/>
          <w:sz w:val="16"/>
        </w:rPr>
        <w:tab/>
        <w:t>FAX (610) 892-3424</w:t>
      </w:r>
    </w:p>
    <w:p w:rsidR="00926C1C" w:rsidRPr="005A633F" w:rsidRDefault="00926C1C" w:rsidP="00926C1C">
      <w:pPr>
        <w:ind w:right="-705"/>
        <w:rPr>
          <w:rFonts w:ascii="Calibri" w:hAnsi="Calibri"/>
          <w:b w:val="0"/>
          <w:sz w:val="22"/>
          <w:szCs w:val="22"/>
        </w:rPr>
      </w:pPr>
    </w:p>
    <w:p w:rsidR="00926C1C" w:rsidRPr="00244BD4" w:rsidRDefault="00926C1C">
      <w:pPr>
        <w:rPr>
          <w:b w:val="0"/>
          <w:sz w:val="22"/>
          <w:szCs w:val="22"/>
        </w:rPr>
      </w:pPr>
    </w:p>
    <w:p w:rsidR="00244BD4" w:rsidRDefault="00FF3C07" w:rsidP="00FF3C07">
      <w:pPr>
        <w:jc w:val="center"/>
        <w:rPr>
          <w:sz w:val="28"/>
          <w:szCs w:val="28"/>
        </w:rPr>
      </w:pPr>
      <w:r>
        <w:rPr>
          <w:sz w:val="28"/>
          <w:szCs w:val="28"/>
        </w:rPr>
        <w:t xml:space="preserve">Directions for Switching </w:t>
      </w:r>
      <w:r w:rsidR="00C51DF3">
        <w:rPr>
          <w:sz w:val="28"/>
          <w:szCs w:val="28"/>
        </w:rPr>
        <w:t xml:space="preserve">403(b) Funds to </w:t>
      </w:r>
      <w:r>
        <w:rPr>
          <w:sz w:val="28"/>
          <w:szCs w:val="28"/>
        </w:rPr>
        <w:t>Providers</w:t>
      </w:r>
      <w:bookmarkStart w:id="0" w:name="_GoBack"/>
      <w:bookmarkEnd w:id="0"/>
    </w:p>
    <w:p w:rsidR="00FF3C07" w:rsidRDefault="00FF3C07" w:rsidP="00FF3C07">
      <w:pPr>
        <w:rPr>
          <w:b w:val="0"/>
          <w:sz w:val="22"/>
          <w:szCs w:val="22"/>
        </w:rPr>
      </w:pPr>
    </w:p>
    <w:p w:rsidR="00C51DF3" w:rsidRPr="00F507F6" w:rsidRDefault="00C51DF3" w:rsidP="00FF3C07">
      <w:pPr>
        <w:rPr>
          <w:rFonts w:ascii="Times New Roman" w:hAnsi="Times New Roman"/>
          <w:b w:val="0"/>
          <w:sz w:val="22"/>
          <w:szCs w:val="22"/>
        </w:rPr>
      </w:pPr>
      <w:r w:rsidRPr="00F507F6">
        <w:rPr>
          <w:rFonts w:ascii="Times New Roman" w:hAnsi="Times New Roman"/>
          <w:b w:val="0"/>
          <w:sz w:val="22"/>
          <w:szCs w:val="22"/>
        </w:rPr>
        <w:t>Moving 403b money from a provider to another provider and staying within the same employer, this</w:t>
      </w:r>
      <w:r w:rsidR="00FF3C07" w:rsidRPr="00F507F6">
        <w:rPr>
          <w:rFonts w:ascii="Times New Roman" w:hAnsi="Times New Roman"/>
          <w:b w:val="0"/>
          <w:sz w:val="22"/>
          <w:szCs w:val="22"/>
        </w:rPr>
        <w:t xml:space="preserve"> type of transaction i</w:t>
      </w:r>
      <w:r w:rsidRPr="00F507F6">
        <w:rPr>
          <w:rFonts w:ascii="Times New Roman" w:hAnsi="Times New Roman"/>
          <w:b w:val="0"/>
          <w:sz w:val="22"/>
          <w:szCs w:val="22"/>
        </w:rPr>
        <w:t xml:space="preserve">s called an EXCHANGE.  </w:t>
      </w:r>
    </w:p>
    <w:p w:rsidR="00F507F6" w:rsidRPr="00F507F6" w:rsidRDefault="00C51DF3" w:rsidP="00FF3C07">
      <w:pPr>
        <w:rPr>
          <w:rFonts w:ascii="Times New Roman" w:hAnsi="Times New Roman"/>
          <w:b w:val="0"/>
          <w:sz w:val="22"/>
          <w:szCs w:val="22"/>
        </w:rPr>
      </w:pPr>
      <w:r w:rsidRPr="00F507F6">
        <w:rPr>
          <w:rFonts w:ascii="Times New Roman" w:hAnsi="Times New Roman"/>
          <w:b w:val="0"/>
          <w:sz w:val="22"/>
          <w:szCs w:val="22"/>
        </w:rPr>
        <w:t>Moving 403b money from a provider to another provider and changing t</w:t>
      </w:r>
      <w:r w:rsidR="00F507F6" w:rsidRPr="00F507F6">
        <w:rPr>
          <w:rFonts w:ascii="Times New Roman" w:hAnsi="Times New Roman"/>
          <w:b w:val="0"/>
          <w:sz w:val="22"/>
          <w:szCs w:val="22"/>
        </w:rPr>
        <w:t>he employer</w:t>
      </w:r>
      <w:r w:rsidRPr="00F507F6">
        <w:rPr>
          <w:rFonts w:ascii="Times New Roman" w:hAnsi="Times New Roman"/>
          <w:b w:val="0"/>
          <w:sz w:val="22"/>
          <w:szCs w:val="22"/>
        </w:rPr>
        <w:t xml:space="preserve"> is called a TRANSFER</w:t>
      </w:r>
    </w:p>
    <w:p w:rsidR="00C51DF3" w:rsidRPr="00F507F6" w:rsidRDefault="00C51DF3" w:rsidP="00FF3C07">
      <w:pPr>
        <w:rPr>
          <w:rFonts w:ascii="Times New Roman" w:hAnsi="Times New Roman"/>
          <w:b w:val="0"/>
          <w:sz w:val="22"/>
          <w:szCs w:val="22"/>
        </w:rPr>
      </w:pPr>
      <w:r w:rsidRPr="00F507F6">
        <w:rPr>
          <w:rFonts w:ascii="Times New Roman" w:hAnsi="Times New Roman"/>
          <w:b w:val="0"/>
          <w:sz w:val="22"/>
          <w:szCs w:val="22"/>
        </w:rPr>
        <w:t xml:space="preserve">or ROLLOVER. </w:t>
      </w:r>
      <w:r w:rsidR="00B35828" w:rsidRPr="00F507F6">
        <w:rPr>
          <w:rFonts w:ascii="Times New Roman" w:hAnsi="Times New Roman"/>
          <w:b w:val="0"/>
          <w:sz w:val="22"/>
          <w:szCs w:val="22"/>
        </w:rPr>
        <w:t xml:space="preserve"> </w:t>
      </w:r>
    </w:p>
    <w:p w:rsidR="00C51DF3" w:rsidRPr="00F507F6" w:rsidRDefault="00C51DF3" w:rsidP="00FF3C07">
      <w:pPr>
        <w:rPr>
          <w:rFonts w:ascii="Times New Roman" w:hAnsi="Times New Roman"/>
          <w:b w:val="0"/>
          <w:sz w:val="22"/>
          <w:szCs w:val="22"/>
        </w:rPr>
      </w:pPr>
    </w:p>
    <w:p w:rsidR="00E8441E" w:rsidRDefault="00E8441E" w:rsidP="00E8441E">
      <w:pPr>
        <w:rPr>
          <w:rFonts w:ascii="Times New Roman" w:hAnsi="Times New Roman"/>
          <w:b w:val="0"/>
          <w:sz w:val="22"/>
          <w:szCs w:val="22"/>
        </w:rPr>
      </w:pPr>
      <w:r w:rsidRPr="00F507F6">
        <w:rPr>
          <w:rFonts w:ascii="Times New Roman" w:hAnsi="Times New Roman"/>
          <w:b w:val="0"/>
          <w:sz w:val="22"/>
          <w:szCs w:val="22"/>
        </w:rPr>
        <w:t xml:space="preserve">All transactions are coordinated through the District’s Third Party Administrator (TPP), TSA Consulting Group, Inc. (TSACG). The Wallingford-Swarthmore School District has contracted with TSACG to provide 403(b) &amp; 457(b) plan administration services. TSACG, based in Fort Walton Beach, Florida, is an independent TPA and is not affiliated with an investment provider nor do they market investment products. TSACG will be responsible for the approval of transactions such as Distributions, Exchanges, Transfers, Loans, and Rollovers. </w:t>
      </w:r>
    </w:p>
    <w:p w:rsidR="00E8441E" w:rsidRDefault="00E8441E" w:rsidP="00FF3C07">
      <w:pPr>
        <w:rPr>
          <w:rFonts w:ascii="Times New Roman" w:hAnsi="Times New Roman"/>
          <w:b w:val="0"/>
          <w:sz w:val="22"/>
          <w:szCs w:val="22"/>
        </w:rPr>
      </w:pPr>
    </w:p>
    <w:p w:rsidR="00E8441E" w:rsidRDefault="00E8441E" w:rsidP="00FF3C07">
      <w:pPr>
        <w:rPr>
          <w:rFonts w:ascii="Times New Roman" w:hAnsi="Times New Roman"/>
          <w:color w:val="58585A"/>
          <w:sz w:val="22"/>
          <w:szCs w:val="22"/>
          <w:shd w:val="clear" w:color="auto" w:fill="FFFFFF"/>
        </w:rPr>
      </w:pPr>
      <w:r w:rsidRPr="00F507F6">
        <w:rPr>
          <w:rFonts w:ascii="Times New Roman" w:hAnsi="Times New Roman"/>
          <w:color w:val="58585A"/>
          <w:sz w:val="22"/>
          <w:szCs w:val="22"/>
          <w:shd w:val="clear" w:color="auto" w:fill="FFFFFF"/>
        </w:rPr>
        <w:t>Distribution transactions may include any of the following: loan, transfer/exchange, rollover, hardship withdrawal or cash distributions. Please note that some transactions require additional forms and/or documentation</w:t>
      </w:r>
      <w:r>
        <w:rPr>
          <w:rFonts w:ascii="Times New Roman" w:hAnsi="Times New Roman"/>
          <w:color w:val="58585A"/>
          <w:sz w:val="22"/>
          <w:szCs w:val="22"/>
          <w:shd w:val="clear" w:color="auto" w:fill="FFFFFF"/>
        </w:rPr>
        <w:t>.</w:t>
      </w:r>
    </w:p>
    <w:p w:rsidR="00E8441E" w:rsidRDefault="00E8441E" w:rsidP="00FF3C07">
      <w:pPr>
        <w:rPr>
          <w:rFonts w:ascii="Times New Roman" w:hAnsi="Times New Roman"/>
          <w:color w:val="58585A"/>
          <w:sz w:val="22"/>
          <w:szCs w:val="22"/>
          <w:shd w:val="clear" w:color="auto" w:fill="FFFFFF"/>
        </w:rPr>
      </w:pPr>
    </w:p>
    <w:p w:rsidR="00FF3C07" w:rsidRPr="00F507F6" w:rsidRDefault="00F507F6" w:rsidP="00FF3C07">
      <w:pPr>
        <w:rPr>
          <w:rFonts w:ascii="Times New Roman" w:hAnsi="Times New Roman"/>
          <w:b w:val="0"/>
          <w:sz w:val="22"/>
          <w:szCs w:val="22"/>
        </w:rPr>
      </w:pPr>
      <w:r w:rsidRPr="00F507F6">
        <w:rPr>
          <w:rFonts w:ascii="Times New Roman" w:hAnsi="Times New Roman"/>
          <w:b w:val="0"/>
          <w:sz w:val="22"/>
          <w:szCs w:val="22"/>
        </w:rPr>
        <w:t>E</w:t>
      </w:r>
      <w:r w:rsidR="00FF3C07" w:rsidRPr="00F507F6">
        <w:rPr>
          <w:rFonts w:ascii="Times New Roman" w:hAnsi="Times New Roman"/>
          <w:b w:val="0"/>
          <w:sz w:val="22"/>
          <w:szCs w:val="22"/>
        </w:rPr>
        <w:t>mployee</w:t>
      </w:r>
      <w:r w:rsidR="00C51DF3" w:rsidRPr="00F507F6">
        <w:rPr>
          <w:rFonts w:ascii="Times New Roman" w:hAnsi="Times New Roman"/>
          <w:b w:val="0"/>
          <w:sz w:val="22"/>
          <w:szCs w:val="22"/>
        </w:rPr>
        <w:t>s who wish to move 403(b) money</w:t>
      </w:r>
      <w:r w:rsidR="00FF3C07" w:rsidRPr="00F507F6">
        <w:rPr>
          <w:rFonts w:ascii="Times New Roman" w:hAnsi="Times New Roman"/>
          <w:b w:val="0"/>
          <w:sz w:val="22"/>
          <w:szCs w:val="22"/>
        </w:rPr>
        <w:t xml:space="preserve"> from one district provider to another should complete the following steps:</w:t>
      </w:r>
    </w:p>
    <w:p w:rsidR="00FF3C07" w:rsidRDefault="00FF3C07" w:rsidP="00FF3C07">
      <w:pPr>
        <w:pStyle w:val="ListParagraph"/>
        <w:numPr>
          <w:ilvl w:val="0"/>
          <w:numId w:val="2"/>
        </w:numPr>
        <w:rPr>
          <w:rFonts w:ascii="Times New Roman" w:hAnsi="Times New Roman"/>
        </w:rPr>
      </w:pPr>
      <w:r w:rsidRPr="00F507F6">
        <w:rPr>
          <w:rFonts w:ascii="Times New Roman" w:hAnsi="Times New Roman"/>
        </w:rPr>
        <w:t>Contact your existing 403</w:t>
      </w:r>
      <w:r w:rsidR="00B35828" w:rsidRPr="00F507F6">
        <w:rPr>
          <w:rFonts w:ascii="Times New Roman" w:hAnsi="Times New Roman"/>
        </w:rPr>
        <w:t>(</w:t>
      </w:r>
      <w:r w:rsidRPr="00F507F6">
        <w:rPr>
          <w:rFonts w:ascii="Times New Roman" w:hAnsi="Times New Roman"/>
        </w:rPr>
        <w:t>b</w:t>
      </w:r>
      <w:r w:rsidR="00B35828" w:rsidRPr="00F507F6">
        <w:rPr>
          <w:rFonts w:ascii="Times New Roman" w:hAnsi="Times New Roman"/>
        </w:rPr>
        <w:t>) provider</w:t>
      </w:r>
      <w:r w:rsidRPr="00F507F6">
        <w:rPr>
          <w:rFonts w:ascii="Times New Roman" w:hAnsi="Times New Roman"/>
        </w:rPr>
        <w:t xml:space="preserve"> to request the</w:t>
      </w:r>
      <w:r w:rsidR="00B35828" w:rsidRPr="00F507F6">
        <w:rPr>
          <w:rFonts w:ascii="Times New Roman" w:hAnsi="Times New Roman"/>
        </w:rPr>
        <w:t>ir 403(b)</w:t>
      </w:r>
      <w:r w:rsidRPr="00F507F6">
        <w:rPr>
          <w:rFonts w:ascii="Times New Roman" w:hAnsi="Times New Roman"/>
        </w:rPr>
        <w:t xml:space="preserve"> contract exchange paperwork</w:t>
      </w:r>
      <w:r w:rsidR="00C51DF3" w:rsidRPr="00F507F6">
        <w:rPr>
          <w:rFonts w:ascii="Times New Roman" w:hAnsi="Times New Roman"/>
        </w:rPr>
        <w:t xml:space="preserve"> </w:t>
      </w:r>
      <w:r w:rsidRPr="00F507F6">
        <w:rPr>
          <w:rFonts w:ascii="Times New Roman" w:hAnsi="Times New Roman"/>
        </w:rPr>
        <w:t>and inquire about an</w:t>
      </w:r>
      <w:r w:rsidR="00B35828" w:rsidRPr="00F507F6">
        <w:rPr>
          <w:rFonts w:ascii="Times New Roman" w:hAnsi="Times New Roman"/>
        </w:rPr>
        <w:t>y</w:t>
      </w:r>
      <w:r w:rsidRPr="00F507F6">
        <w:rPr>
          <w:rFonts w:ascii="Times New Roman" w:hAnsi="Times New Roman"/>
        </w:rPr>
        <w:t xml:space="preserve"> applicable termination fees</w:t>
      </w:r>
      <w:r w:rsidR="00B35828" w:rsidRPr="00F507F6">
        <w:rPr>
          <w:rFonts w:ascii="Times New Roman" w:hAnsi="Times New Roman"/>
        </w:rPr>
        <w:t>.  Just because you are exchanging the money from one district provider to another doesn’t mean there won’t be extra fees.</w:t>
      </w:r>
    </w:p>
    <w:p w:rsidR="00E8441E" w:rsidRPr="00F507F6" w:rsidRDefault="00E8441E" w:rsidP="00E8441E">
      <w:pPr>
        <w:pStyle w:val="ListParagraph"/>
        <w:rPr>
          <w:rFonts w:ascii="Times New Roman" w:hAnsi="Times New Roman"/>
        </w:rPr>
      </w:pPr>
    </w:p>
    <w:p w:rsidR="00B35828" w:rsidRDefault="00FF3C07" w:rsidP="00B35828">
      <w:pPr>
        <w:pStyle w:val="ListParagraph"/>
        <w:numPr>
          <w:ilvl w:val="0"/>
          <w:numId w:val="2"/>
        </w:numPr>
        <w:rPr>
          <w:rFonts w:ascii="Times New Roman" w:hAnsi="Times New Roman"/>
        </w:rPr>
      </w:pPr>
      <w:r w:rsidRPr="00F507F6">
        <w:rPr>
          <w:rFonts w:ascii="Times New Roman" w:hAnsi="Times New Roman"/>
        </w:rPr>
        <w:t>Create an account with the new 403</w:t>
      </w:r>
      <w:r w:rsidR="00B35828" w:rsidRPr="00F507F6">
        <w:rPr>
          <w:rFonts w:ascii="Times New Roman" w:hAnsi="Times New Roman"/>
        </w:rPr>
        <w:t>(</w:t>
      </w:r>
      <w:r w:rsidRPr="00F507F6">
        <w:rPr>
          <w:rFonts w:ascii="Times New Roman" w:hAnsi="Times New Roman"/>
        </w:rPr>
        <w:t>b</w:t>
      </w:r>
      <w:r w:rsidR="00B35828" w:rsidRPr="00F507F6">
        <w:rPr>
          <w:rFonts w:ascii="Times New Roman" w:hAnsi="Times New Roman"/>
        </w:rPr>
        <w:t>)</w:t>
      </w:r>
      <w:r w:rsidRPr="00F507F6">
        <w:rPr>
          <w:rFonts w:ascii="Times New Roman" w:hAnsi="Times New Roman"/>
        </w:rPr>
        <w:t xml:space="preserve"> </w:t>
      </w:r>
      <w:r w:rsidR="00B35828" w:rsidRPr="00F507F6">
        <w:rPr>
          <w:rFonts w:ascii="Times New Roman" w:hAnsi="Times New Roman"/>
        </w:rPr>
        <w:t>district approved provider (if</w:t>
      </w:r>
      <w:r w:rsidR="008E6C14" w:rsidRPr="00F507F6">
        <w:rPr>
          <w:rFonts w:ascii="Times New Roman" w:hAnsi="Times New Roman"/>
        </w:rPr>
        <w:t xml:space="preserve"> you</w:t>
      </w:r>
      <w:r w:rsidR="00B35828" w:rsidRPr="00F507F6">
        <w:rPr>
          <w:rFonts w:ascii="Times New Roman" w:hAnsi="Times New Roman"/>
        </w:rPr>
        <w:t xml:space="preserve"> haven’t already done so). Find out from the new 403(b) provider if there is a contract exchange form</w:t>
      </w:r>
      <w:r w:rsidR="00F507F6">
        <w:rPr>
          <w:rFonts w:ascii="Times New Roman" w:hAnsi="Times New Roman"/>
        </w:rPr>
        <w:t xml:space="preserve"> they </w:t>
      </w:r>
      <w:r w:rsidR="00B35828" w:rsidRPr="00F507F6">
        <w:rPr>
          <w:rFonts w:ascii="Times New Roman" w:hAnsi="Times New Roman"/>
        </w:rPr>
        <w:t>need</w:t>
      </w:r>
      <w:r w:rsidR="00F507F6">
        <w:rPr>
          <w:rFonts w:ascii="Times New Roman" w:hAnsi="Times New Roman"/>
        </w:rPr>
        <w:t xml:space="preserve"> to</w:t>
      </w:r>
      <w:r w:rsidR="00E8441E">
        <w:rPr>
          <w:rFonts w:ascii="Times New Roman" w:hAnsi="Times New Roman"/>
        </w:rPr>
        <w:t xml:space="preserve"> be</w:t>
      </w:r>
      <w:r w:rsidR="00B35828" w:rsidRPr="00F507F6">
        <w:rPr>
          <w:rFonts w:ascii="Times New Roman" w:hAnsi="Times New Roman"/>
        </w:rPr>
        <w:t xml:space="preserve"> completed as well.</w:t>
      </w:r>
    </w:p>
    <w:p w:rsidR="00E8441E" w:rsidRPr="00F507F6" w:rsidRDefault="00E8441E" w:rsidP="00E8441E">
      <w:pPr>
        <w:pStyle w:val="ListParagraph"/>
        <w:rPr>
          <w:rFonts w:ascii="Times New Roman" w:hAnsi="Times New Roman"/>
        </w:rPr>
      </w:pPr>
    </w:p>
    <w:p w:rsidR="00E8441E" w:rsidRPr="00F507F6" w:rsidRDefault="00F507F6" w:rsidP="00E8441E">
      <w:pPr>
        <w:pStyle w:val="Default"/>
        <w:numPr>
          <w:ilvl w:val="0"/>
          <w:numId w:val="2"/>
        </w:numPr>
        <w:rPr>
          <w:rFonts w:ascii="Times New Roman" w:hAnsi="Times New Roman"/>
          <w:bCs/>
          <w:sz w:val="22"/>
          <w:szCs w:val="22"/>
          <w:u w:val="single"/>
        </w:rPr>
      </w:pPr>
      <w:r w:rsidRPr="00E8441E">
        <w:rPr>
          <w:rFonts w:ascii="Times New Roman" w:hAnsi="Times New Roman"/>
        </w:rPr>
        <w:t xml:space="preserve">Request a transaction approval from our Third Party (TPA) Provider, Tax Shelter Annuity Consulting Group (TSACG). </w:t>
      </w:r>
      <w:r w:rsidR="00FF3C07" w:rsidRPr="00E8441E">
        <w:rPr>
          <w:rFonts w:ascii="Times New Roman" w:hAnsi="Times New Roman"/>
        </w:rPr>
        <w:t>S</w:t>
      </w:r>
      <w:r w:rsidRPr="00E8441E">
        <w:rPr>
          <w:rFonts w:ascii="Times New Roman" w:hAnsi="Times New Roman"/>
        </w:rPr>
        <w:t xml:space="preserve">ubmit all </w:t>
      </w:r>
      <w:r w:rsidR="00FF3C07" w:rsidRPr="00E8441E">
        <w:rPr>
          <w:rFonts w:ascii="Times New Roman" w:hAnsi="Times New Roman"/>
        </w:rPr>
        <w:t xml:space="preserve">paperwork to TSA </w:t>
      </w:r>
      <w:r w:rsidR="008E6C14" w:rsidRPr="00E8441E">
        <w:rPr>
          <w:rFonts w:ascii="Times New Roman" w:hAnsi="Times New Roman"/>
        </w:rPr>
        <w:t>Consulting Group</w:t>
      </w:r>
      <w:r w:rsidRPr="00E8441E">
        <w:rPr>
          <w:rFonts w:ascii="Times New Roman" w:hAnsi="Times New Roman"/>
          <w:b/>
        </w:rPr>
        <w:t xml:space="preserve">. </w:t>
      </w:r>
      <w:r w:rsidRPr="00E8441E">
        <w:rPr>
          <w:rFonts w:ascii="Times New Roman" w:hAnsi="Times New Roman"/>
          <w:b/>
          <w:color w:val="58585A"/>
          <w:sz w:val="22"/>
          <w:szCs w:val="22"/>
          <w:shd w:val="clear" w:color="auto" w:fill="FFFFFF"/>
        </w:rPr>
        <w:t>The fastest way to receive a transaction approval is to submit your transaction online to </w:t>
      </w:r>
      <w:hyperlink r:id="rId6" w:history="1">
        <w:r w:rsidRPr="00E8441E">
          <w:rPr>
            <w:rStyle w:val="Hyperlink"/>
            <w:rFonts w:ascii="Times New Roman" w:hAnsi="Times New Roman"/>
            <w:b/>
            <w:sz w:val="22"/>
            <w:szCs w:val="22"/>
            <w:u w:val="none"/>
            <w:shd w:val="clear" w:color="auto" w:fill="FFFFFF"/>
          </w:rPr>
          <w:t>https://transaction.tsacg.com</w:t>
        </w:r>
      </w:hyperlink>
      <w:r w:rsidRPr="00E8441E">
        <w:rPr>
          <w:rFonts w:ascii="Times New Roman" w:hAnsi="Times New Roman"/>
          <w:b/>
          <w:color w:val="58585A"/>
          <w:sz w:val="22"/>
          <w:szCs w:val="22"/>
          <w:shd w:val="clear" w:color="auto" w:fill="FFFFFF"/>
        </w:rPr>
        <w:t>. If, however, an original signature is required on Investment Provider paperwork, mail all those documents to U.S. OMNI &amp; TSACG Compliance Services (OMNI/TSACG) for manual processing.</w:t>
      </w:r>
      <w:r w:rsidR="00E8441E">
        <w:rPr>
          <w:rFonts w:ascii="Times New Roman" w:hAnsi="Times New Roman"/>
          <w:b/>
          <w:color w:val="58585A"/>
          <w:shd w:val="clear" w:color="auto" w:fill="FFFFFF"/>
        </w:rPr>
        <w:t xml:space="preserve"> </w:t>
      </w:r>
      <w:r w:rsidR="00E8441E" w:rsidRPr="00F507F6">
        <w:rPr>
          <w:rFonts w:ascii="Times New Roman" w:hAnsi="Times New Roman"/>
          <w:bCs/>
          <w:sz w:val="22"/>
          <w:szCs w:val="22"/>
          <w:u w:val="single"/>
        </w:rPr>
        <w:t>All completed forms must be submitted to TSACG for processing, not the District.</w:t>
      </w:r>
    </w:p>
    <w:p w:rsidR="00E8441E" w:rsidRDefault="00E8441E" w:rsidP="00E8441E">
      <w:pPr>
        <w:pStyle w:val="ListParagraph"/>
        <w:rPr>
          <w:rFonts w:ascii="Times New Roman" w:hAnsi="Times New Roman"/>
        </w:rPr>
      </w:pPr>
    </w:p>
    <w:p w:rsidR="00FF3C07" w:rsidRDefault="00FF3C07" w:rsidP="00F55D12">
      <w:pPr>
        <w:pStyle w:val="ListParagraph"/>
        <w:numPr>
          <w:ilvl w:val="0"/>
          <w:numId w:val="2"/>
        </w:numPr>
        <w:rPr>
          <w:rFonts w:ascii="Times New Roman" w:hAnsi="Times New Roman"/>
        </w:rPr>
      </w:pPr>
      <w:r w:rsidRPr="00E8441E">
        <w:rPr>
          <w:rFonts w:ascii="Times New Roman" w:hAnsi="Times New Roman"/>
        </w:rPr>
        <w:t>After reviewing submitted paperwork to ensure that the transaction complies with IRS regulations and the Plan, TSACG will forward approved paperwork to the applicable investment product provider who will complete the transaction by disbursing funds directly to the participant or directly to an account specified by the participant.  </w:t>
      </w:r>
      <w:r w:rsidR="00E8441E">
        <w:rPr>
          <w:rFonts w:ascii="Times New Roman" w:hAnsi="Times New Roman"/>
        </w:rPr>
        <w:t>We recommend the employee follow-up with the investment provider to ensure the transaction is being processed.</w:t>
      </w:r>
    </w:p>
    <w:p w:rsidR="00E8441E" w:rsidRDefault="00E8441E" w:rsidP="00FF3C07">
      <w:pPr>
        <w:rPr>
          <w:rFonts w:ascii="Times New Roman" w:hAnsi="Times New Roman"/>
          <w:b w:val="0"/>
          <w:sz w:val="22"/>
          <w:szCs w:val="22"/>
        </w:rPr>
      </w:pPr>
    </w:p>
    <w:p w:rsidR="00FF3C07" w:rsidRPr="00F507F6" w:rsidRDefault="00FF3C07" w:rsidP="00E8441E">
      <w:pPr>
        <w:numPr>
          <w:ilvl w:val="0"/>
          <w:numId w:val="2"/>
        </w:numPr>
        <w:rPr>
          <w:rFonts w:ascii="Times New Roman" w:hAnsi="Times New Roman"/>
          <w:b w:val="0"/>
          <w:sz w:val="22"/>
          <w:szCs w:val="22"/>
        </w:rPr>
      </w:pPr>
      <w:r w:rsidRPr="00F507F6">
        <w:rPr>
          <w:rFonts w:ascii="Times New Roman" w:hAnsi="Times New Roman"/>
          <w:b w:val="0"/>
          <w:sz w:val="22"/>
          <w:szCs w:val="22"/>
        </w:rPr>
        <w:t>TSA</w:t>
      </w:r>
      <w:r w:rsidR="008E6C14" w:rsidRPr="00F507F6">
        <w:rPr>
          <w:rFonts w:ascii="Times New Roman" w:hAnsi="Times New Roman"/>
          <w:b w:val="0"/>
          <w:sz w:val="22"/>
          <w:szCs w:val="22"/>
        </w:rPr>
        <w:t>CG</w:t>
      </w:r>
      <w:r w:rsidRPr="00F507F6">
        <w:rPr>
          <w:rFonts w:ascii="Times New Roman" w:hAnsi="Times New Roman"/>
          <w:b w:val="0"/>
          <w:sz w:val="22"/>
          <w:szCs w:val="22"/>
        </w:rPr>
        <w:t xml:space="preserve"> wi</w:t>
      </w:r>
      <w:r w:rsidR="008E6C14" w:rsidRPr="00F507F6">
        <w:rPr>
          <w:rFonts w:ascii="Times New Roman" w:hAnsi="Times New Roman"/>
          <w:b w:val="0"/>
          <w:sz w:val="22"/>
          <w:szCs w:val="22"/>
        </w:rPr>
        <w:t>ll process your paperwork in 3-6 business days and communicate with you</w:t>
      </w:r>
      <w:r w:rsidRPr="00F507F6">
        <w:rPr>
          <w:rFonts w:ascii="Times New Roman" w:hAnsi="Times New Roman"/>
          <w:b w:val="0"/>
          <w:sz w:val="22"/>
          <w:szCs w:val="22"/>
        </w:rPr>
        <w:t xml:space="preserve"> if you include your email address on the documentation.</w:t>
      </w:r>
    </w:p>
    <w:p w:rsidR="00FF3C07" w:rsidRPr="00F507F6" w:rsidRDefault="00FF3C07" w:rsidP="00FF3C07">
      <w:pPr>
        <w:pStyle w:val="Default"/>
        <w:rPr>
          <w:rFonts w:ascii="Times New Roman" w:hAnsi="Times New Roman"/>
          <w:sz w:val="22"/>
          <w:szCs w:val="22"/>
        </w:rPr>
      </w:pPr>
    </w:p>
    <w:p w:rsidR="00567F38" w:rsidRPr="00F507F6" w:rsidRDefault="00567F38" w:rsidP="00FF3C07">
      <w:pPr>
        <w:pStyle w:val="Default"/>
        <w:rPr>
          <w:rFonts w:ascii="Times New Roman" w:hAnsi="Times New Roman"/>
          <w:bCs/>
          <w:sz w:val="22"/>
          <w:szCs w:val="22"/>
          <w:u w:val="single"/>
        </w:rPr>
      </w:pPr>
    </w:p>
    <w:p w:rsidR="00FF3C07" w:rsidRPr="00F507F6" w:rsidRDefault="00FF3C07" w:rsidP="00FF3C07">
      <w:pPr>
        <w:pStyle w:val="Default"/>
        <w:rPr>
          <w:rFonts w:ascii="Times New Roman" w:hAnsi="Times New Roman"/>
          <w:bCs/>
          <w:sz w:val="22"/>
          <w:szCs w:val="22"/>
        </w:rPr>
      </w:pPr>
      <w:r w:rsidRPr="00F507F6">
        <w:rPr>
          <w:rFonts w:ascii="Times New Roman" w:hAnsi="Times New Roman"/>
          <w:sz w:val="22"/>
          <w:szCs w:val="22"/>
        </w:rPr>
        <w:t>All transaction requests should be submitted to TSACG for processing via</w:t>
      </w:r>
      <w:r w:rsidRPr="00F507F6">
        <w:rPr>
          <w:rFonts w:ascii="Times New Roman" w:hAnsi="Times New Roman"/>
          <w:bCs/>
          <w:sz w:val="22"/>
          <w:szCs w:val="22"/>
        </w:rPr>
        <w:t xml:space="preserve"> fax, mail, or email.</w:t>
      </w:r>
    </w:p>
    <w:p w:rsidR="00FF3C07" w:rsidRPr="00F507F6" w:rsidRDefault="00FF3C07" w:rsidP="00FF3C07">
      <w:pPr>
        <w:pStyle w:val="Default"/>
        <w:rPr>
          <w:rFonts w:ascii="Times New Roman" w:hAnsi="Times New Roman"/>
          <w:bCs/>
          <w:sz w:val="22"/>
          <w:szCs w:val="22"/>
          <w:u w:val="single"/>
        </w:rPr>
      </w:pPr>
    </w:p>
    <w:tbl>
      <w:tblPr>
        <w:tblW w:w="0" w:type="auto"/>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769"/>
        <w:gridCol w:w="4170"/>
      </w:tblGrid>
      <w:tr w:rsidR="00567F38" w:rsidRPr="00F507F6" w:rsidTr="0063720C">
        <w:trPr>
          <w:jc w:val="center"/>
        </w:trPr>
        <w:tc>
          <w:tcPr>
            <w:tcW w:w="0" w:type="auto"/>
            <w:tcBorders>
              <w:bottom w:val="double" w:sz="6" w:space="0" w:color="000000"/>
            </w:tcBorders>
            <w:shd w:val="clear" w:color="auto" w:fill="auto"/>
          </w:tcPr>
          <w:p w:rsidR="00567F38" w:rsidRPr="00F507F6" w:rsidRDefault="00567F38" w:rsidP="00FF3C07">
            <w:pPr>
              <w:pStyle w:val="Default"/>
              <w:rPr>
                <w:rFonts w:ascii="Times New Roman" w:hAnsi="Times New Roman"/>
                <w:bCs/>
                <w:sz w:val="22"/>
                <w:szCs w:val="22"/>
                <w:u w:val="single"/>
              </w:rPr>
            </w:pPr>
            <w:r w:rsidRPr="00F507F6">
              <w:rPr>
                <w:rFonts w:ascii="Times New Roman" w:hAnsi="Times New Roman"/>
                <w:bCs/>
                <w:sz w:val="22"/>
                <w:szCs w:val="22"/>
                <w:u w:val="single"/>
              </w:rPr>
              <w:t>Fax</w:t>
            </w:r>
            <w:r w:rsidRPr="00F507F6">
              <w:rPr>
                <w:rFonts w:ascii="Times New Roman" w:hAnsi="Times New Roman"/>
                <w:sz w:val="22"/>
                <w:szCs w:val="22"/>
              </w:rPr>
              <w:t xml:space="preserve"> # 1-866-741-0645 or 1-866-814-0622</w:t>
            </w:r>
          </w:p>
        </w:tc>
        <w:tc>
          <w:tcPr>
            <w:tcW w:w="0" w:type="auto"/>
            <w:tcBorders>
              <w:bottom w:val="double" w:sz="6" w:space="0" w:color="000000"/>
            </w:tcBorders>
            <w:shd w:val="clear" w:color="auto" w:fill="auto"/>
          </w:tcPr>
          <w:p w:rsidR="00567F38" w:rsidRPr="00F507F6" w:rsidRDefault="00567F38" w:rsidP="00FF3C07">
            <w:pPr>
              <w:pStyle w:val="Default"/>
              <w:rPr>
                <w:rFonts w:ascii="Times New Roman" w:hAnsi="Times New Roman"/>
                <w:sz w:val="22"/>
                <w:szCs w:val="22"/>
              </w:rPr>
            </w:pPr>
            <w:r w:rsidRPr="00F507F6">
              <w:rPr>
                <w:rFonts w:ascii="Times New Roman" w:hAnsi="Times New Roman"/>
                <w:bCs/>
                <w:sz w:val="22"/>
                <w:szCs w:val="22"/>
                <w:u w:val="single"/>
              </w:rPr>
              <w:t>Email</w:t>
            </w:r>
            <w:r w:rsidRPr="00F507F6">
              <w:rPr>
                <w:rFonts w:ascii="Times New Roman" w:hAnsi="Times New Roman"/>
                <w:sz w:val="22"/>
                <w:szCs w:val="22"/>
              </w:rPr>
              <w:t xml:space="preserve">: </w:t>
            </w:r>
            <w:hyperlink r:id="rId7" w:history="1">
              <w:r w:rsidRPr="00F507F6">
                <w:rPr>
                  <w:rStyle w:val="Hyperlink"/>
                  <w:rFonts w:ascii="Times New Roman" w:hAnsi="Times New Roman"/>
                  <w:sz w:val="22"/>
                  <w:szCs w:val="22"/>
                </w:rPr>
                <w:t>recordkeeping@tsacg.com</w:t>
              </w:r>
            </w:hyperlink>
          </w:p>
        </w:tc>
      </w:tr>
      <w:tr w:rsidR="00567F38" w:rsidRPr="00F507F6" w:rsidTr="0063720C">
        <w:trPr>
          <w:jc w:val="center"/>
        </w:trPr>
        <w:tc>
          <w:tcPr>
            <w:tcW w:w="0" w:type="auto"/>
            <w:shd w:val="clear" w:color="auto" w:fill="auto"/>
          </w:tcPr>
          <w:p w:rsidR="00567F38" w:rsidRPr="00F507F6" w:rsidRDefault="00567F38" w:rsidP="00FF3C07">
            <w:pPr>
              <w:pStyle w:val="Default"/>
              <w:rPr>
                <w:rFonts w:ascii="Times New Roman" w:hAnsi="Times New Roman"/>
                <w:bCs/>
                <w:sz w:val="22"/>
                <w:szCs w:val="22"/>
                <w:u w:val="single"/>
              </w:rPr>
            </w:pPr>
            <w:r w:rsidRPr="00F507F6">
              <w:rPr>
                <w:rFonts w:ascii="Times New Roman" w:hAnsi="Times New Roman"/>
                <w:bCs/>
                <w:sz w:val="22"/>
                <w:szCs w:val="22"/>
                <w:u w:val="single"/>
              </w:rPr>
              <w:t>Regular Mail:</w:t>
            </w:r>
          </w:p>
          <w:p w:rsidR="00567F38" w:rsidRPr="00F507F6" w:rsidRDefault="00E8441E" w:rsidP="00FF3C07">
            <w:pPr>
              <w:pStyle w:val="Default"/>
              <w:rPr>
                <w:rFonts w:ascii="Times New Roman" w:hAnsi="Times New Roman"/>
                <w:sz w:val="22"/>
                <w:szCs w:val="22"/>
              </w:rPr>
            </w:pPr>
            <w:r>
              <w:rPr>
                <w:rFonts w:ascii="Times New Roman" w:hAnsi="Times New Roman"/>
                <w:sz w:val="22"/>
                <w:szCs w:val="22"/>
              </w:rPr>
              <w:t>U.S. OMNI &amp; TSACG Compliance Services</w:t>
            </w:r>
          </w:p>
          <w:p w:rsidR="00567F38" w:rsidRPr="00F507F6" w:rsidRDefault="00567F38" w:rsidP="00567F38">
            <w:pPr>
              <w:pStyle w:val="Default"/>
              <w:rPr>
                <w:rFonts w:ascii="Times New Roman" w:hAnsi="Times New Roman"/>
                <w:sz w:val="22"/>
                <w:szCs w:val="22"/>
              </w:rPr>
            </w:pPr>
            <w:r w:rsidRPr="00F507F6">
              <w:rPr>
                <w:rFonts w:ascii="Times New Roman" w:hAnsi="Times New Roman"/>
                <w:sz w:val="22"/>
                <w:szCs w:val="22"/>
              </w:rPr>
              <w:t xml:space="preserve">Attn: Participant Transactions Department          </w:t>
            </w:r>
          </w:p>
          <w:p w:rsidR="00567F38" w:rsidRPr="00F507F6" w:rsidRDefault="00567F38" w:rsidP="00567F38">
            <w:pPr>
              <w:pStyle w:val="Default"/>
              <w:rPr>
                <w:rFonts w:ascii="Times New Roman" w:hAnsi="Times New Roman"/>
                <w:sz w:val="22"/>
                <w:szCs w:val="22"/>
              </w:rPr>
            </w:pPr>
            <w:r w:rsidRPr="00F507F6">
              <w:rPr>
                <w:rFonts w:ascii="Times New Roman" w:hAnsi="Times New Roman"/>
                <w:sz w:val="22"/>
                <w:szCs w:val="22"/>
              </w:rPr>
              <w:t xml:space="preserve">P.O. Box 4037                                                            </w:t>
            </w:r>
          </w:p>
          <w:p w:rsidR="00E8441E" w:rsidRDefault="00567F38" w:rsidP="00FF3C07">
            <w:pPr>
              <w:pStyle w:val="Default"/>
              <w:rPr>
                <w:rFonts w:ascii="Times New Roman" w:hAnsi="Times New Roman"/>
                <w:sz w:val="22"/>
                <w:szCs w:val="22"/>
              </w:rPr>
            </w:pPr>
            <w:r w:rsidRPr="00F507F6">
              <w:rPr>
                <w:rFonts w:ascii="Times New Roman" w:hAnsi="Times New Roman"/>
                <w:sz w:val="22"/>
                <w:szCs w:val="22"/>
              </w:rPr>
              <w:t>Fort Walton Beach, FL 32549-4037 </w:t>
            </w:r>
          </w:p>
          <w:p w:rsidR="00E8441E" w:rsidRDefault="00E8441E" w:rsidP="00FF3C07">
            <w:pPr>
              <w:pStyle w:val="Default"/>
              <w:rPr>
                <w:rFonts w:ascii="Times New Roman" w:hAnsi="Times New Roman"/>
                <w:sz w:val="22"/>
                <w:szCs w:val="22"/>
              </w:rPr>
            </w:pPr>
          </w:p>
          <w:p w:rsidR="00567F38" w:rsidRPr="00F507F6" w:rsidRDefault="00E8441E" w:rsidP="00FF3C07">
            <w:pPr>
              <w:pStyle w:val="Default"/>
              <w:rPr>
                <w:rFonts w:ascii="Times New Roman" w:hAnsi="Times New Roman"/>
                <w:sz w:val="22"/>
                <w:szCs w:val="22"/>
              </w:rPr>
            </w:pPr>
            <w:r>
              <w:rPr>
                <w:rFonts w:ascii="Times New Roman" w:hAnsi="Times New Roman"/>
                <w:sz w:val="22"/>
                <w:szCs w:val="22"/>
              </w:rPr>
              <w:t xml:space="preserve">Phone 1-888-796-3786 </w:t>
            </w:r>
            <w:r w:rsidR="00567F38" w:rsidRPr="00F507F6">
              <w:rPr>
                <w:rFonts w:ascii="Times New Roman" w:hAnsi="Times New Roman"/>
                <w:sz w:val="22"/>
                <w:szCs w:val="22"/>
              </w:rPr>
              <w:t xml:space="preserve">                          </w:t>
            </w:r>
          </w:p>
        </w:tc>
        <w:tc>
          <w:tcPr>
            <w:tcW w:w="0" w:type="auto"/>
            <w:shd w:val="clear" w:color="auto" w:fill="auto"/>
          </w:tcPr>
          <w:p w:rsidR="00567F38" w:rsidRPr="00F507F6" w:rsidRDefault="00567F38" w:rsidP="00FF3C07">
            <w:pPr>
              <w:pStyle w:val="Default"/>
              <w:rPr>
                <w:rFonts w:ascii="Times New Roman" w:hAnsi="Times New Roman"/>
                <w:b/>
                <w:bCs/>
                <w:sz w:val="22"/>
                <w:szCs w:val="22"/>
                <w:u w:val="single"/>
              </w:rPr>
            </w:pPr>
            <w:r w:rsidRPr="00F507F6">
              <w:rPr>
                <w:rFonts w:ascii="Times New Roman" w:hAnsi="Times New Roman"/>
                <w:bCs/>
                <w:sz w:val="22"/>
                <w:szCs w:val="22"/>
                <w:u w:val="single"/>
              </w:rPr>
              <w:t>Overnight Mail:</w:t>
            </w:r>
          </w:p>
          <w:p w:rsidR="00E8441E" w:rsidRPr="00F507F6" w:rsidRDefault="00E8441E" w:rsidP="00E8441E">
            <w:pPr>
              <w:pStyle w:val="Default"/>
              <w:rPr>
                <w:rFonts w:ascii="Times New Roman" w:hAnsi="Times New Roman"/>
                <w:sz w:val="22"/>
                <w:szCs w:val="22"/>
              </w:rPr>
            </w:pPr>
            <w:r>
              <w:rPr>
                <w:rFonts w:ascii="Times New Roman" w:hAnsi="Times New Roman"/>
                <w:sz w:val="22"/>
                <w:szCs w:val="22"/>
              </w:rPr>
              <w:t>U.S. OMNI &amp; TSACG Compliance Services</w:t>
            </w:r>
          </w:p>
          <w:p w:rsidR="00567F38" w:rsidRPr="00F507F6" w:rsidRDefault="00E8441E" w:rsidP="00FF3C07">
            <w:pPr>
              <w:pStyle w:val="Default"/>
              <w:rPr>
                <w:rFonts w:ascii="Times New Roman" w:hAnsi="Times New Roman"/>
                <w:b/>
                <w:bCs/>
                <w:sz w:val="22"/>
                <w:szCs w:val="22"/>
              </w:rPr>
            </w:pPr>
            <w:r>
              <w:rPr>
                <w:rFonts w:ascii="Times New Roman" w:hAnsi="Times New Roman"/>
                <w:bCs/>
                <w:sz w:val="22"/>
                <w:szCs w:val="22"/>
              </w:rPr>
              <w:t>Attn: Participant Services</w:t>
            </w:r>
          </w:p>
          <w:p w:rsidR="00567F38" w:rsidRPr="00F507F6" w:rsidRDefault="00E8441E" w:rsidP="00FF3C07">
            <w:pPr>
              <w:pStyle w:val="Default"/>
              <w:rPr>
                <w:rFonts w:ascii="Times New Roman" w:hAnsi="Times New Roman"/>
                <w:b/>
                <w:bCs/>
                <w:sz w:val="22"/>
                <w:szCs w:val="22"/>
              </w:rPr>
            </w:pPr>
            <w:r>
              <w:rPr>
                <w:rFonts w:ascii="Times New Roman" w:hAnsi="Times New Roman"/>
                <w:bCs/>
                <w:sz w:val="22"/>
                <w:szCs w:val="22"/>
              </w:rPr>
              <w:t>73 Eglin Parkway NE,  Suite 2</w:t>
            </w:r>
            <w:r w:rsidR="00567F38" w:rsidRPr="00F507F6">
              <w:rPr>
                <w:rFonts w:ascii="Times New Roman" w:hAnsi="Times New Roman"/>
                <w:bCs/>
                <w:sz w:val="22"/>
                <w:szCs w:val="22"/>
              </w:rPr>
              <w:t>02</w:t>
            </w:r>
          </w:p>
          <w:p w:rsidR="00567F38" w:rsidRDefault="00567F38" w:rsidP="00FF3C07">
            <w:pPr>
              <w:pStyle w:val="Default"/>
              <w:rPr>
                <w:rFonts w:ascii="Times New Roman" w:hAnsi="Times New Roman"/>
                <w:bCs/>
                <w:sz w:val="22"/>
                <w:szCs w:val="22"/>
              </w:rPr>
            </w:pPr>
            <w:r w:rsidRPr="00F507F6">
              <w:rPr>
                <w:rFonts w:ascii="Times New Roman" w:hAnsi="Times New Roman"/>
                <w:bCs/>
                <w:sz w:val="22"/>
                <w:szCs w:val="22"/>
              </w:rPr>
              <w:t>Fort Walton Beach, FL 32548</w:t>
            </w:r>
          </w:p>
          <w:p w:rsidR="00E8441E" w:rsidRDefault="00E8441E" w:rsidP="00FF3C07">
            <w:pPr>
              <w:pStyle w:val="Default"/>
              <w:rPr>
                <w:rFonts w:ascii="Times New Roman" w:hAnsi="Times New Roman"/>
                <w:bCs/>
                <w:sz w:val="22"/>
                <w:szCs w:val="22"/>
              </w:rPr>
            </w:pPr>
          </w:p>
          <w:p w:rsidR="00E8441E" w:rsidRPr="00F507F6" w:rsidRDefault="00E8441E" w:rsidP="00FF3C07">
            <w:pPr>
              <w:pStyle w:val="Default"/>
              <w:rPr>
                <w:rFonts w:ascii="Times New Roman" w:hAnsi="Times New Roman"/>
                <w:b/>
                <w:bCs/>
                <w:sz w:val="22"/>
                <w:szCs w:val="22"/>
                <w:u w:val="single"/>
              </w:rPr>
            </w:pPr>
          </w:p>
        </w:tc>
      </w:tr>
    </w:tbl>
    <w:p w:rsidR="006810B5" w:rsidRPr="00F507F6" w:rsidRDefault="006810B5" w:rsidP="00DB74A6">
      <w:pPr>
        <w:pStyle w:val="Default"/>
        <w:rPr>
          <w:rFonts w:ascii="Times New Roman" w:hAnsi="Times New Roman"/>
          <w:sz w:val="22"/>
          <w:szCs w:val="22"/>
        </w:rPr>
      </w:pPr>
    </w:p>
    <w:sectPr w:rsidR="006810B5" w:rsidRPr="00F507F6" w:rsidSect="00F507F6">
      <w:pgSz w:w="12240" w:h="15840"/>
      <w:pgMar w:top="720" w:right="99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C5B"/>
    <w:multiLevelType w:val="hybridMultilevel"/>
    <w:tmpl w:val="8926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A227E4"/>
    <w:multiLevelType w:val="hybridMultilevel"/>
    <w:tmpl w:val="0CDC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1C"/>
    <w:rsid w:val="00211E46"/>
    <w:rsid w:val="00244BD4"/>
    <w:rsid w:val="003C08D0"/>
    <w:rsid w:val="0043647A"/>
    <w:rsid w:val="00567F38"/>
    <w:rsid w:val="005A633F"/>
    <w:rsid w:val="0063720C"/>
    <w:rsid w:val="006632E6"/>
    <w:rsid w:val="006810B5"/>
    <w:rsid w:val="006A0131"/>
    <w:rsid w:val="00730429"/>
    <w:rsid w:val="00790DC9"/>
    <w:rsid w:val="007D35EB"/>
    <w:rsid w:val="007F6BA4"/>
    <w:rsid w:val="00833870"/>
    <w:rsid w:val="008E6C14"/>
    <w:rsid w:val="00926C1C"/>
    <w:rsid w:val="009B430E"/>
    <w:rsid w:val="009C500A"/>
    <w:rsid w:val="00A848C8"/>
    <w:rsid w:val="00B35828"/>
    <w:rsid w:val="00C51DF3"/>
    <w:rsid w:val="00C55757"/>
    <w:rsid w:val="00CA0962"/>
    <w:rsid w:val="00CE58F5"/>
    <w:rsid w:val="00D911FD"/>
    <w:rsid w:val="00DB74A6"/>
    <w:rsid w:val="00E0364B"/>
    <w:rsid w:val="00E8441E"/>
    <w:rsid w:val="00F507F6"/>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CB8307"/>
  <w15:chartTrackingRefBased/>
  <w15:docId w15:val="{B5C7B3FC-CD2D-4932-B088-E26691D9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C1C"/>
    <w:rPr>
      <w:rFonts w:ascii="Palatino" w:hAnsi="Palatino"/>
      <w:b/>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26C1C"/>
    <w:rPr>
      <w:rFonts w:ascii="Tahoma" w:hAnsi="Tahoma" w:cs="Tahoma"/>
      <w:sz w:val="16"/>
      <w:szCs w:val="16"/>
    </w:rPr>
  </w:style>
  <w:style w:type="character" w:styleId="Hyperlink">
    <w:name w:val="Hyperlink"/>
    <w:uiPriority w:val="99"/>
    <w:unhideWhenUsed/>
    <w:rsid w:val="00FF3C07"/>
    <w:rPr>
      <w:color w:val="0000FF"/>
      <w:u w:val="single"/>
    </w:rPr>
  </w:style>
  <w:style w:type="paragraph" w:styleId="ListParagraph">
    <w:name w:val="List Paragraph"/>
    <w:basedOn w:val="Normal"/>
    <w:uiPriority w:val="34"/>
    <w:qFormat/>
    <w:rsid w:val="00FF3C07"/>
    <w:pPr>
      <w:ind w:left="720"/>
    </w:pPr>
    <w:rPr>
      <w:rFonts w:ascii="Calibri" w:eastAsia="Calibri" w:hAnsi="Calibri"/>
      <w:b w:val="0"/>
      <w:sz w:val="22"/>
      <w:szCs w:val="22"/>
    </w:rPr>
  </w:style>
  <w:style w:type="paragraph" w:customStyle="1" w:styleId="Default">
    <w:name w:val="Default"/>
    <w:basedOn w:val="Normal"/>
    <w:rsid w:val="00FF3C07"/>
    <w:pPr>
      <w:autoSpaceDE w:val="0"/>
      <w:autoSpaceDN w:val="0"/>
    </w:pPr>
    <w:rPr>
      <w:rFonts w:ascii="Garamond" w:eastAsia="Calibri" w:hAnsi="Garamond"/>
      <w:b w:val="0"/>
      <w:color w:val="000000"/>
    </w:rPr>
  </w:style>
  <w:style w:type="table" w:styleId="TableGrid">
    <w:name w:val="Table Grid"/>
    <w:basedOn w:val="TableNormal"/>
    <w:rsid w:val="0056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rsid w:val="00567F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rsid w:val="00A848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ordkeeping@tsac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action.tsacg.com/index.php"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Links>
    <vt:vector size="12" baseType="variant">
      <vt:variant>
        <vt:i4>8192078</vt:i4>
      </vt:variant>
      <vt:variant>
        <vt:i4>3</vt:i4>
      </vt:variant>
      <vt:variant>
        <vt:i4>0</vt:i4>
      </vt:variant>
      <vt:variant>
        <vt:i4>5</vt:i4>
      </vt:variant>
      <vt:variant>
        <vt:lpwstr>mailto:recordkeeping@tsacg.com</vt:lpwstr>
      </vt:variant>
      <vt:variant>
        <vt:lpwstr/>
      </vt:variant>
      <vt:variant>
        <vt:i4>721001</vt:i4>
      </vt:variant>
      <vt:variant>
        <vt:i4>0</vt:i4>
      </vt:variant>
      <vt:variant>
        <vt:i4>0</vt:i4>
      </vt:variant>
      <vt:variant>
        <vt:i4>5</vt:i4>
      </vt:variant>
      <vt:variant>
        <vt:lpwstr>http://www.wssd.org/cms/lib02/PA01001072/Centricity/Domain/23/Transaction_Routing_Request_form.pdf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fabbott</dc:creator>
  <cp:keywords/>
  <cp:lastModifiedBy>Eileen Seichepine</cp:lastModifiedBy>
  <cp:revision>2</cp:revision>
  <cp:lastPrinted>2014-03-31T13:08:00Z</cp:lastPrinted>
  <dcterms:created xsi:type="dcterms:W3CDTF">2024-09-26T17:21:00Z</dcterms:created>
  <dcterms:modified xsi:type="dcterms:W3CDTF">2024-09-26T17:21:00Z</dcterms:modified>
</cp:coreProperties>
</file>